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新晃县民政局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257D9EB6"/>
    <w:p w14:paraId="4BE7DF41">
      <w:pPr>
        <w:numPr>
          <w:ilvl w:val="0"/>
          <w:numId w:val="1"/>
        </w:numPr>
        <w:overflowPunct w:val="0"/>
        <w:spacing w:line="600" w:lineRule="exact"/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绩效评价工作开展情况</w:t>
      </w:r>
    </w:p>
    <w:p w14:paraId="2078C6A2">
      <w:pPr>
        <w:numPr>
          <w:numId w:val="0"/>
        </w:numPr>
        <w:overflowPunct w:val="0"/>
        <w:spacing w:line="600" w:lineRule="exact"/>
        <w:ind w:firstLine="643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/>
        </w:rPr>
        <w:t>1.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绩效自评开展情况。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组织对2024年度本单位整体支出开展绩效自评，涉及项目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52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个，共涉及资金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10476.31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万元。其中，一般公共预算项目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9750.62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万元，占一般公共预算支出总额的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%；政府性基金预算项目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43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725.69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万元，占政府性基金预算支出总额的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%。</w:t>
      </w:r>
    </w:p>
    <w:p w14:paraId="2BE10005">
      <w:pPr>
        <w:numPr>
          <w:numId w:val="0"/>
        </w:numPr>
        <w:overflowPunct w:val="0"/>
        <w:spacing w:line="600" w:lineRule="exact"/>
        <w:ind w:firstLine="643" w:firstLineChars="200"/>
        <w:rPr>
          <w:rFonts w:ascii="Times New Roman" w:hAnsi="Times New Roman" w:eastAsia="楷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事前绩效评估开展情况。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个重大项目开展事前绩效评估，共涉及资金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5000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  <w:bookmarkStart w:id="0" w:name="_GoBack"/>
      <w:bookmarkEnd w:id="0"/>
    </w:p>
    <w:p w14:paraId="34E5B163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绩效评价结果</w:t>
      </w:r>
    </w:p>
    <w:p w14:paraId="7312623E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2024年度本部门（单位）整体支出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9354.74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11246.07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120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，绩效自评得分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92.5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，评价等级为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</w:t>
      </w:r>
    </w:p>
    <w:p w14:paraId="40B18BEF">
      <w:pPr>
        <w:keepNext w:val="0"/>
        <w:keepLines w:val="0"/>
        <w:pageBreakBefore w:val="0"/>
        <w:widowControl w:val="0"/>
        <w:numPr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0" w:firstLineChars="1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绩效目标完成情况</w:t>
      </w:r>
    </w:p>
    <w:p w14:paraId="6A2FFE72">
      <w:pPr>
        <w:keepNext w:val="0"/>
        <w:keepLines w:val="0"/>
        <w:pageBreakBefore w:val="0"/>
        <w:widowControl w:val="0"/>
        <w:numPr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社会救助精准化：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全年累计救助城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市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低保对象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17250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人次、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农村低保对象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112598人次、城乡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特困人员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35490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人次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、临时救助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2316人次、流浪乞讨救助62人次、孤儿和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事实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无人抚养儿童救助1786人次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。通过精准识别、动态管理，做到应保尽保、应退尽退，有效保障困难群众基本生活。</w:t>
      </w:r>
    </w:p>
    <w:p w14:paraId="0EAE63A6">
      <w:pPr>
        <w:keepNext w:val="0"/>
        <w:keepLines w:val="0"/>
        <w:pageBreakBefore w:val="0"/>
        <w:widowControl w:val="0"/>
        <w:numPr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养老服务提质：</w:t>
      </w:r>
      <w:r>
        <w:rPr>
          <w:rFonts w:hint="eastAsia" w:ascii="仿宋" w:hAnsi="仿宋" w:eastAsia="仿宋"/>
          <w:sz w:val="32"/>
          <w:szCs w:val="32"/>
        </w:rPr>
        <w:t>完成137户特殊困难老年人家庭适老化改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造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4个老年服务助餐点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建设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推进老年人养护服务中心项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目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</w:rPr>
        <w:t>探索推动智慧养老服务平台建设。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开展养老服务质量提升行动，对全县养老机构进行安全检查和服务质量评估，提升养老服务水平。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精准做好高龄补贴发放工作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全年</w:t>
      </w:r>
      <w:r>
        <w:rPr>
          <w:rFonts w:hint="eastAsia" w:ascii="仿宋" w:hAnsi="仿宋" w:eastAsia="仿宋"/>
          <w:sz w:val="32"/>
          <w:szCs w:val="32"/>
        </w:rPr>
        <w:t>发放高龄补贴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90236</w:t>
      </w:r>
      <w:r>
        <w:rPr>
          <w:rFonts w:hint="eastAsia" w:ascii="仿宋" w:hAnsi="仿宋" w:eastAsia="仿宋"/>
          <w:sz w:val="32"/>
          <w:szCs w:val="32"/>
        </w:rPr>
        <w:t xml:space="preserve">人次，发放金额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387.62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1211581D">
      <w:pPr>
        <w:keepNext w:val="0"/>
        <w:keepLines w:val="0"/>
        <w:pageBreakBefore w:val="0"/>
        <w:widowControl w:val="0"/>
        <w:numPr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全力推进未成年人保护工作：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将未成年人保护工作纳入平安建设重要考核内容进行量化考核，建立“三级书记”抓未保工作机制，选优配强村未保专干，形成了县、乡、村（社区）齐抓共管的协调运行机制。严格落实从业查询、强制报告制度，加大对重点行业、重点场所、重点人群的监管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组织开展集中培训2场，正常培训50余场，张贴未成年人入住“五个必须”要求40余张。</w:t>
      </w:r>
    </w:p>
    <w:p w14:paraId="4D7EBDC2">
      <w:pPr>
        <w:keepNext w:val="0"/>
        <w:keepLines w:val="0"/>
        <w:pageBreakBefore w:val="0"/>
        <w:widowControl w:val="0"/>
        <w:numPr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专项事务规范管理：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落实残疾人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两项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补贴制度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，全年发放重度残疾人护理补贴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42745人次，困难残疾人生活补贴39225人次。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持续推进精神康复社区建设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对198人精障人员全部建立了个人档案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服务总次数达1166次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规范婚姻登记服务，全年办理结婚登记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809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对、离婚登记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373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对，婚姻登记合格率达100%。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强力推进殡仪馆项目建设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已完成土地征收、规划许可、规划设计、用地报批、施工场地“三通一平”等前期工作。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 xml:space="preserve"> </w:t>
      </w:r>
    </w:p>
    <w:p w14:paraId="1882F22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发现的主要问题及原因</w:t>
      </w:r>
    </w:p>
    <w:p w14:paraId="071925B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殡葬项目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建设推进滞后。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因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项目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建设原址结算问题，导致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监理费用和安全文明施工措施费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未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能及时拨付到位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。报建手续仍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在</w:t>
      </w:r>
      <w:r>
        <w:rPr>
          <w:rFonts w:hint="eastAsia" w:ascii="仿宋" w:hAnsi="仿宋" w:eastAsia="仿宋" w:cs="仿宋"/>
          <w:sz w:val="32"/>
          <w:szCs w:val="32"/>
        </w:rPr>
        <w:t>等待规划审批，导致项目建设报建和施工许可证办理滞后。</w:t>
      </w:r>
    </w:p>
    <w:p w14:paraId="03FF1CE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老年人养护服务中心项目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推进困难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项目资金保障困难，申请的中央预算内资金5700万元尚未落实到位。</w:t>
      </w:r>
    </w:p>
    <w:p w14:paraId="30E5E1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</w:t>
      </w:r>
      <w:r>
        <w:rPr>
          <w:rFonts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下一步</w:t>
      </w:r>
      <w:r>
        <w:rPr>
          <w:rFonts w:ascii="黑体" w:hAnsi="黑体" w:eastAsia="黑体"/>
          <w:sz w:val="32"/>
          <w:szCs w:val="32"/>
        </w:rPr>
        <w:t>措施与建议</w:t>
      </w:r>
    </w:p>
    <w:p w14:paraId="6F1F8E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1.加快殡葬项目建设进度。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2025年10月前，完成殡仪馆所有工程建设并投入运营使用。</w:t>
      </w:r>
    </w:p>
    <w:p w14:paraId="345CF7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2.正式启动公墓建设工作。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2025年10月前，争取开发建设县级公墓100亩。 </w:t>
      </w:r>
    </w:p>
    <w:p w14:paraId="4E1009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3.全面启动推进殡葬改革工作。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提请县委、县政府出台我县殡葬改革和惠民殡葬相关政策文件；二是加大县城区域内和铁道、国道沿线及“三沿六区”乱埋乱葬的治理力度。</w:t>
      </w:r>
    </w:p>
    <w:p w14:paraId="57CB2D4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稳步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推进老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年人养护服务中心项目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积极主动向上级发改部门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衔接申请的中央预算内资金，确保资金保障到位，有序推进该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项目建设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。</w:t>
      </w:r>
    </w:p>
    <w:p w14:paraId="0A3D2B5A">
      <w:pPr>
        <w:pStyle w:val="8"/>
        <w:overflowPunct w:val="0"/>
        <w:autoSpaceDE/>
        <w:autoSpaceDN/>
        <w:spacing w:line="600" w:lineRule="exact"/>
        <w:ind w:firstLine="643" w:firstLineChars="200"/>
        <w:jc w:val="both"/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</w:rPr>
      </w:pPr>
      <w:r>
        <w:rPr>
          <w:rFonts w:hint="eastAsia" w:ascii="Times New Roman" w:hAnsi="Times New Roman" w:eastAsia="楷体_GB2312" w:cs="Times New Roman"/>
          <w:b/>
          <w:bCs/>
          <w:color w:val="auto"/>
          <w:kern w:val="2"/>
          <w:sz w:val="32"/>
          <w:szCs w:val="32"/>
          <w:lang w:eastAsia="zh-CN"/>
        </w:rPr>
        <w:t>六、</w:t>
      </w:r>
      <w:r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</w:rPr>
        <w:t>评价结果应用情况。</w:t>
      </w:r>
    </w:p>
    <w:p w14:paraId="79E83430">
      <w:pPr>
        <w:pStyle w:val="8"/>
        <w:ind w:firstLine="640" w:firstLineChars="200"/>
        <w:jc w:val="both"/>
        <w:rPr>
          <w:rFonts w:hint="default" w:ascii="Times New Roman" w:hAnsi="Times New Roman" w:eastAsia="黑体" w:cs="Times New Roman"/>
          <w:sz w:val="72"/>
          <w:szCs w:val="7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根据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2024年度各类绩效评价结果，对2025年度预算进行科学调整。对于绩效优异的项目，在2025年预算中予以优先保障并适当增加资金投入，对于绩效不达标的项目，相应缩减其预算规模。以绩效评价结果为依据，推进制度建设。</w:t>
      </w:r>
    </w:p>
    <w:p w14:paraId="519298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41729E"/>
    <w:multiLevelType w:val="singleLevel"/>
    <w:tmpl w:val="874172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00000000"/>
    <w:rsid w:val="02582EC4"/>
    <w:rsid w:val="20F42639"/>
    <w:rsid w:val="2FA33962"/>
    <w:rsid w:val="489A18C8"/>
    <w:rsid w:val="506374B2"/>
    <w:rsid w:val="727342FE"/>
    <w:rsid w:val="7BB2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0"/>
    <w:pPr>
      <w:ind w:firstLine="200" w:firstLineChars="200"/>
    </w:pPr>
  </w:style>
  <w:style w:type="paragraph" w:styleId="3">
    <w:name w:val="Body Text Indent"/>
    <w:basedOn w:val="1"/>
    <w:next w:val="4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4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5">
    <w:name w:val="footnote text"/>
    <w:basedOn w:val="1"/>
    <w:next w:val="4"/>
    <w:semiHidden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841</Words>
  <Characters>931</Characters>
  <Lines>0</Lines>
  <Paragraphs>0</Paragraphs>
  <TotalTime>8</TotalTime>
  <ScaleCrop>false</ScaleCrop>
  <LinksUpToDate>false</LinksUpToDate>
  <CharactersWithSpaces>940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绿予旅</cp:lastModifiedBy>
  <dcterms:modified xsi:type="dcterms:W3CDTF">2025-09-26T09:19:44Z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12A71744045445B687D66BD13FB312DC_12</vt:lpwstr>
  </property>
  <property fmtid="{D5CDD505-2E9C-101B-9397-08002B2CF9AE}" pid="4" name="KSOTemplateDocerSaveRecord">
    <vt:lpwstr>eyJoZGlkIjoiZDMyNDk1OTE5Y2JlMzFjYzNkMzc3Njg2Y2I3ZmU5ODEiLCJ1c2VySWQiOiIyMzg1MjM3NTQifQ==</vt:lpwstr>
  </property>
</Properties>
</file>